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916" w:rsidRPr="00D10916" w:rsidRDefault="00D10916" w:rsidP="00D10916">
      <w:pPr>
        <w:pStyle w:val="Kop2"/>
        <w:rPr>
          <w:u w:val="single"/>
          <w:lang w:val="en-US"/>
        </w:rPr>
      </w:pPr>
      <w:r w:rsidRPr="00D10916">
        <w:rPr>
          <w:u w:val="single"/>
          <w:lang w:val="en-US"/>
        </w:rPr>
        <w:t>PICO Less is More project</w:t>
      </w:r>
    </w:p>
    <w:p w:rsidR="00D10916" w:rsidRDefault="00D10916" w:rsidP="00D10916">
      <w:pPr>
        <w:numPr>
          <w:ilvl w:val="0"/>
          <w:numId w:val="1"/>
        </w:numPr>
        <w:spacing w:before="100" w:beforeAutospacing="1" w:after="100" w:afterAutospacing="1" w:line="240" w:lineRule="auto"/>
        <w:rPr>
          <w:rFonts w:eastAsia="Times New Roman"/>
        </w:rPr>
      </w:pPr>
      <w:bookmarkStart w:id="0" w:name="_GoBack"/>
      <w:bookmarkEnd w:id="0"/>
      <w:r>
        <w:rPr>
          <w:rFonts w:eastAsia="Times New Roman"/>
          <w:b/>
          <w:bCs/>
        </w:rPr>
        <w:t>P (Patiënt/Populatie):</w:t>
      </w:r>
      <w:r>
        <w:rPr>
          <w:rFonts w:eastAsia="Times New Roman"/>
        </w:rPr>
        <w:t xml:space="preserve"> Patiënten met laagrisico niet-</w:t>
      </w:r>
      <w:proofErr w:type="spellStart"/>
      <w:r>
        <w:rPr>
          <w:rFonts w:eastAsia="Times New Roman"/>
        </w:rPr>
        <w:t>spierinvasief</w:t>
      </w:r>
      <w:proofErr w:type="spellEnd"/>
      <w:r>
        <w:rPr>
          <w:rFonts w:eastAsia="Times New Roman"/>
        </w:rPr>
        <w:t xml:space="preserve"> blaascarcinoom (zoals gedefinieerd in de EAU richtlijn waarbij risico op progressie &lt; 1% na 5 jaar).</w:t>
      </w:r>
    </w:p>
    <w:p w:rsidR="00D10916" w:rsidRDefault="00D10916" w:rsidP="00D10916">
      <w:pPr>
        <w:numPr>
          <w:ilvl w:val="0"/>
          <w:numId w:val="1"/>
        </w:numPr>
        <w:spacing w:before="100" w:beforeAutospacing="1" w:after="100" w:afterAutospacing="1" w:line="240" w:lineRule="auto"/>
        <w:rPr>
          <w:rFonts w:eastAsia="Times New Roman"/>
        </w:rPr>
      </w:pPr>
      <w:r>
        <w:rPr>
          <w:rFonts w:eastAsia="Times New Roman"/>
          <w:b/>
          <w:bCs/>
        </w:rPr>
        <w:t>I (Interventie):</w:t>
      </w:r>
      <w:r>
        <w:rPr>
          <w:rFonts w:eastAsia="Times New Roman"/>
        </w:rPr>
        <w:t xml:space="preserve"> Stoppen van routinematige </w:t>
      </w:r>
      <w:proofErr w:type="spellStart"/>
      <w:r>
        <w:rPr>
          <w:rFonts w:eastAsia="Times New Roman"/>
        </w:rPr>
        <w:t>cystoscopische</w:t>
      </w:r>
      <w:proofErr w:type="spellEnd"/>
      <w:r>
        <w:rPr>
          <w:rFonts w:eastAsia="Times New Roman"/>
        </w:rPr>
        <w:t xml:space="preserve"> follow-up na 1 jaar. Dus enkel op maand 3 en 12 een cystoscopie verrichten, </w:t>
      </w:r>
    </w:p>
    <w:p w:rsidR="00D10916" w:rsidRDefault="00D10916" w:rsidP="00D10916">
      <w:pPr>
        <w:numPr>
          <w:ilvl w:val="0"/>
          <w:numId w:val="1"/>
        </w:numPr>
        <w:spacing w:before="100" w:beforeAutospacing="1" w:after="100" w:afterAutospacing="1" w:line="240" w:lineRule="auto"/>
        <w:rPr>
          <w:rFonts w:eastAsia="Times New Roman"/>
          <w:lang w:eastAsia="nl-NL"/>
        </w:rPr>
      </w:pPr>
      <w:r>
        <w:rPr>
          <w:rFonts w:eastAsia="Times New Roman"/>
          <w:b/>
          <w:bCs/>
        </w:rPr>
        <w:t>C (Vergelijking):</w:t>
      </w:r>
      <w:r>
        <w:rPr>
          <w:rFonts w:eastAsia="Times New Roman"/>
        </w:rPr>
        <w:t xml:space="preserve"> Continueren van routinematige </w:t>
      </w:r>
      <w:proofErr w:type="spellStart"/>
      <w:r>
        <w:rPr>
          <w:rFonts w:eastAsia="Times New Roman"/>
        </w:rPr>
        <w:t>cystoscopische</w:t>
      </w:r>
      <w:proofErr w:type="spellEnd"/>
      <w:r>
        <w:rPr>
          <w:rFonts w:eastAsia="Times New Roman"/>
        </w:rPr>
        <w:t xml:space="preserve"> follow-up volgens huidige EAU richtlijnen (maand 3 en 12 in het eerste jaar, daarna jaarlijks tot 5 jaar).</w:t>
      </w:r>
    </w:p>
    <w:p w:rsidR="00D10916" w:rsidRDefault="00D10916" w:rsidP="00D10916">
      <w:pPr>
        <w:numPr>
          <w:ilvl w:val="0"/>
          <w:numId w:val="1"/>
        </w:numPr>
        <w:spacing w:before="100" w:beforeAutospacing="1" w:after="100" w:afterAutospacing="1" w:line="240" w:lineRule="auto"/>
        <w:rPr>
          <w:rFonts w:eastAsia="Times New Roman"/>
        </w:rPr>
      </w:pPr>
      <w:r>
        <w:rPr>
          <w:rFonts w:eastAsia="Times New Roman"/>
          <w:b/>
          <w:bCs/>
        </w:rPr>
        <w:t>O (Uitkomst):</w:t>
      </w:r>
    </w:p>
    <w:p w:rsidR="00D10916" w:rsidRDefault="00D10916" w:rsidP="00D10916">
      <w:pPr>
        <w:numPr>
          <w:ilvl w:val="1"/>
          <w:numId w:val="1"/>
        </w:numPr>
        <w:spacing w:before="100" w:beforeAutospacing="1" w:after="100" w:afterAutospacing="1" w:line="240" w:lineRule="auto"/>
        <w:rPr>
          <w:rFonts w:eastAsia="Times New Roman"/>
        </w:rPr>
      </w:pPr>
      <w:r>
        <w:rPr>
          <w:rFonts w:eastAsia="Times New Roman"/>
        </w:rPr>
        <w:t xml:space="preserve">Primaire uitkomst: </w:t>
      </w:r>
      <w:proofErr w:type="spellStart"/>
      <w:r>
        <w:rPr>
          <w:rFonts w:eastAsia="Times New Roman"/>
        </w:rPr>
        <w:t>Spierinvasieve</w:t>
      </w:r>
      <w:proofErr w:type="spellEnd"/>
      <w:r>
        <w:rPr>
          <w:rFonts w:eastAsia="Times New Roman"/>
        </w:rPr>
        <w:t xml:space="preserve"> progressie</w:t>
      </w:r>
    </w:p>
    <w:p w:rsidR="00D10916" w:rsidRDefault="00D10916" w:rsidP="00D10916">
      <w:pPr>
        <w:numPr>
          <w:ilvl w:val="1"/>
          <w:numId w:val="1"/>
        </w:numPr>
        <w:spacing w:before="100" w:beforeAutospacing="1" w:after="100" w:afterAutospacing="1" w:line="240" w:lineRule="auto"/>
        <w:rPr>
          <w:rFonts w:eastAsia="Times New Roman"/>
        </w:rPr>
      </w:pPr>
      <w:r>
        <w:rPr>
          <w:rFonts w:eastAsia="Times New Roman"/>
        </w:rPr>
        <w:t>Secundaire uitkomsten: Recidieven, kwaliteit van leven, kosteneffectiviteit, patiënttevredenheid, en complicaties</w:t>
      </w:r>
    </w:p>
    <w:p w:rsidR="00D10916" w:rsidRDefault="00D10916" w:rsidP="00D10916">
      <w:pPr>
        <w:spacing w:before="100" w:beforeAutospacing="1" w:after="100" w:afterAutospacing="1"/>
      </w:pPr>
      <w:r>
        <w:t>Nu is het zo dat we de vergelijking willen doen met historische data en/of de prospectief te verzamelen data van patiënten die nog niet worden opgevolgd zoals hier voorgesteld, immers niet iedereen zal zich meteen conformeren naar een nieuw beleid. Deze prospectieve data kunnen als comparator worden gebruikt.</w:t>
      </w:r>
    </w:p>
    <w:p w:rsidR="00985CA5" w:rsidRDefault="00D10916" w:rsidP="00D10916">
      <w:r>
        <w:t>Met het genoemde voorstel worden patiënten met low risk NMIBC dus maar 1 jaar vervolgd in plaats van 5 jaar (conform het beleid in de UK, zie NICE richtlijn). Om te monitoren dat het ingezette beleid zo veilig is als verondersteld is, houden we een prospectieve registratie bij via IKNL.</w:t>
      </w:r>
    </w:p>
    <w:sectPr w:rsidR="00985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047F8"/>
    <w:multiLevelType w:val="multilevel"/>
    <w:tmpl w:val="52166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16"/>
    <w:rsid w:val="0036547C"/>
    <w:rsid w:val="008D19EB"/>
    <w:rsid w:val="00985CA5"/>
    <w:rsid w:val="00D10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F29E"/>
  <w15:chartTrackingRefBased/>
  <w15:docId w15:val="{094B7F7B-0093-4C1E-8CDF-49A24C3B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D109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109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Onderzoekscoordinator</dc:creator>
  <cp:keywords/>
  <dc:description/>
  <cp:lastModifiedBy>Onderzoekscoordinator</cp:lastModifiedBy>
  <cp:revision>3</cp:revision>
  <dcterms:created xsi:type="dcterms:W3CDTF">2025-02-12T14:04:00Z</dcterms:created>
  <dcterms:modified xsi:type="dcterms:W3CDTF">2025-02-12T14:05:00Z</dcterms:modified>
</cp:coreProperties>
</file>